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98647" w14:textId="27EFAA81" w:rsidR="00E8228C" w:rsidRDefault="00E8228C" w:rsidP="00E8228C">
      <w:pPr>
        <w:pStyle w:val="Web"/>
        <w:rPr>
          <w:rFonts w:ascii="Meiryo UI" w:eastAsia="Meiryo UI" w:hAnsi="Meiryo UI"/>
          <w:sz w:val="20"/>
          <w:szCs w:val="20"/>
        </w:rPr>
      </w:pPr>
      <w:r>
        <w:rPr>
          <w:rFonts w:ascii="Meiryo UI" w:eastAsia="Meiryo UI" w:hAnsi="Meiryo UI" w:hint="eastAsia"/>
          <w:sz w:val="20"/>
          <w:szCs w:val="20"/>
        </w:rPr>
        <w:t>(添付和訳)</w:t>
      </w:r>
    </w:p>
    <w:p w14:paraId="537E2AF5" w14:textId="128FA715"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・パナマ海事局は、すべてのパナマ籍船に対し、あらゆる安全対策を講じ、黒海とアゾフ海のウクライナとロシアの海域を通過しないよう強く勧告しております。</w:t>
      </w:r>
    </w:p>
    <w:p w14:paraId="2A42CDE6"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・2022 年 7 月 22 日、トルコ共和国、ロシア連邦、ウクライナ、および国連は、ウクライナの港からの食料品およびアンモニアを含む肥料の安全な輸出に関するイニシアチブに署名しました。</w:t>
      </w:r>
    </w:p>
    <w:p w14:paraId="5FE1C2AD"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国連の黒海穀物イニシアチブの共同調整センター (JCC) は、「商船のための手順」を承認しました。 この手順は、SOLAS 規則 XI-2/11 および ISPS コード、パート A、セクション 4.2 およびパート B、セクション 4.26 に従って、ウクライナの港への出入りの条件として必須の要件です。</w:t>
      </w:r>
    </w:p>
    <w:p w14:paraId="72F643AE"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・長さ 111 マイル、幅 3 海里マイルに指定された人道的海上回廊を、共同調整センターによって回廊を回航許可された船舶は、回廊内またはウクライナとトルコの海岸沖の定義された保留エリアに留まらなければなりません。</w:t>
      </w:r>
    </w:p>
    <w:p w14:paraId="6C8F6C6F"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・商業活動と手続きに基づいて船舶を移動することを決定した海運会社は、ウクライナの港湾当局に申請し、黒海穀物イニシアチブ - 商船のための共同調整センター手続きの完全な指示に従わなければなりません。 共同調整センターは、そのような要求に基づいて、黒海に出入りする船舶の移動を許可します。</w:t>
      </w:r>
    </w:p>
    <w:p w14:paraId="553FD2D6"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・ウクライナの港からの出港を申請したいパナマ籍船で、技術証明書が失効しているか、監査/検査が実施されていない場合は、パナマ海事局のセグマル事務所 (extensions@segumar.com) に連絡する必要があります。 または(conditionals@segumar.com) で、対応する命令を確認してください。 詳細については、Black Sea Grain Initiative Joint Coordination Center のよくある質問を参照してください。</w:t>
      </w:r>
    </w:p>
    <w:p w14:paraId="0C8846F8"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状況を認識しているパナマ海事局は、港湾設備を含む黒海とアゾフ海のウクライナとロシアの水域内にあるすべての船舶の安全な脱出経路を確保し、保証するために、国際海事機関と常に連絡を取り合っています。</w:t>
      </w:r>
    </w:p>
    <w:p w14:paraId="631748CC"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黒海、アゾフ海、およびその周辺地域の現在の状況により、パナマ海事局は、パナマに登録されているすべての船舶に対し、船舶のセキュリティプランに従ってセキュリティレベルを引き上げ、船とその乗組員に対し最大限安全対策を講じることを要求しています。</w:t>
      </w:r>
    </w:p>
    <w:p w14:paraId="0F509680"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・アゾフ海の航行は引き続き閉鎖されていますが、一部の船舶はロシア当局によってこの海域の通過が許可されています。 </w:t>
      </w:r>
    </w:p>
    <w:p w14:paraId="21AA5E8E"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・ウクライナの港または上記のゾーンを通過するパナマの船舶は、最大限の警戒を維持し、船舶とその乗組員を保護するために船内のセキュリティ条件を強化する必要があります。</w:t>
      </w:r>
    </w:p>
    <w:p w14:paraId="1FFA2DF4"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lastRenderedPageBreak/>
        <w:t>・国際メディアで報道されているように、ウクライナの港での港湾運営は穀物輸送の目的のみに制限されており、これらの港に停泊するパナマ籍船とその乗組員は、ウクライナ当局が許可を与えるまで港に留まらなければならない。 乗組員の出発または下船。 港に滞在中は、ISPS コードに従って船舶保安計画で要求されている保安レベル III に相当するすべての保安対策を実施する必要があります。現在、船舶は港に出入りすることができません。</w:t>
      </w:r>
    </w:p>
    <w:p w14:paraId="5BC19E3D"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・安全のため、自動識別システム (AIS) と LRIT は、船長が船舶のセキュリティが損なわれる可能性があると判断した場合、またはセキュリティインシデントが差し迫っている場合を除き、常にオンにする必要があります。 同様に、海上における人命の安全のための国際条約 (SOLAS) の規定に従って、VHF チャンネル 16 を監視し、地方自治体およびパナマ海事局との通信を常に維持する必要があります。</w:t>
      </w:r>
    </w:p>
    <w:p w14:paraId="2DE077A2"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 xml:space="preserve">・船長/S.S.O. 企業は、前述の機器のスイッチを切ることを決定し検討する場合、船とその乗組員の状態を 4 時間ごとにメールで </w:t>
      </w:r>
      <w:hyperlink r:id="rId5" w:history="1">
        <w:r w:rsidRPr="00E8228C">
          <w:rPr>
            <w:rStyle w:val="a3"/>
            <w:rFonts w:ascii="Meiryo UI" w:eastAsia="Meiryo UI" w:hAnsi="Meiryo UI"/>
            <w:sz w:val="20"/>
            <w:szCs w:val="20"/>
          </w:rPr>
          <w:t>nardila@amp.gob.pa</w:t>
        </w:r>
      </w:hyperlink>
      <w:r w:rsidRPr="00E8228C">
        <w:rPr>
          <w:rFonts w:ascii="Meiryo UI" w:eastAsia="Meiryo UI" w:hAnsi="Meiryo UI"/>
          <w:sz w:val="20"/>
          <w:szCs w:val="20"/>
        </w:rPr>
        <w:t xml:space="preserve"> と </w:t>
      </w:r>
      <w:hyperlink r:id="rId6" w:history="1">
        <w:r w:rsidRPr="00E8228C">
          <w:rPr>
            <w:rStyle w:val="a3"/>
            <w:rFonts w:ascii="Meiryo UI" w:eastAsia="Meiryo UI" w:hAnsi="Meiryo UI"/>
            <w:sz w:val="20"/>
            <w:szCs w:val="20"/>
          </w:rPr>
          <w:t>isps@amp.gob.pa</w:t>
        </w:r>
      </w:hyperlink>
      <w:r w:rsidRPr="00E8228C">
        <w:rPr>
          <w:rFonts w:ascii="Meiryo UI" w:eastAsia="Meiryo UI" w:hAnsi="Meiryo UI"/>
          <w:sz w:val="20"/>
          <w:szCs w:val="20"/>
        </w:rPr>
        <w:t>に通知し、報告する必要があります。</w:t>
      </w:r>
    </w:p>
    <w:p w14:paraId="175A43CB"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・パナマ海事局は、以下にリストされた推奨事項を始めとする海事産業のメンバーと利害関係者によって発行された文書に従うことを強く推奨します。</w:t>
      </w:r>
    </w:p>
    <w:p w14:paraId="7CE77039"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事故が発生した、または脅威が変化した地域に入る前に、船舶および航海に固有の新しい脅威リスク評価を実施します。</w:t>
      </w:r>
    </w:p>
    <w:p w14:paraId="55C944B9"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リスク評価の後、船舶の保安計画を見直します</w:t>
      </w:r>
    </w:p>
    <w:p w14:paraId="255E5D87"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BMP5 のセクション 2 を確認してください。このセクションでは、著作権侵害以外の脅威とグローバル 海賊版対策ガイダンスについて概説しています。</w:t>
      </w:r>
    </w:p>
    <w:p w14:paraId="3036C23C"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完全かつ用心深いブリッジ ウォッチングを維持します。</w:t>
      </w:r>
    </w:p>
    <w:p w14:paraId="3FC6487F"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厳重な通信監視を維持し、接近するすべての船舶との通信を確立します。</w:t>
      </w:r>
    </w:p>
    <w:p w14:paraId="34D7FBAA"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厳格な搭乗管理が実施されていることを確認してください。</w:t>
      </w:r>
    </w:p>
    <w:p w14:paraId="5CDE8631"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宿泊施設の通路またははしごは、必要な場合にのみ下げてください。</w:t>
      </w:r>
    </w:p>
    <w:p w14:paraId="5FCEF30B"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安全な見張りの維持を妨げない限り、可能であれば船外照明を装備し、可能な場合はサーチライトを装備/使用する。</w:t>
      </w:r>
    </w:p>
    <w:p w14:paraId="214EE6C2"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チャネル 16 t VHF およびその他の通信チャネルの監視。</w:t>
      </w:r>
    </w:p>
    <w:p w14:paraId="6AF75A52"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https://armada.defensa.gob.es/ihm/Aplicaciones/Navareas/Index_Navareas_xml_ en.html で採掘地域に関する通信通知を確認し、追加情報については地元の港湾当局に連絡してください。</w:t>
      </w:r>
    </w:p>
    <w:p w14:paraId="2E50DE52"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すぐに使用できるすべての消火設備を確認してください。 メンテナンスが行われている場合は、緊急消火ポンプが利用可能であることを確認してください。</w:t>
      </w:r>
    </w:p>
    <w:p w14:paraId="6F6DC43B" w14:textId="77777777" w:rsidR="00E8228C" w:rsidRPr="00E8228C" w:rsidRDefault="00E8228C" w:rsidP="00E8228C">
      <w:pPr>
        <w:widowControl/>
        <w:numPr>
          <w:ilvl w:val="0"/>
          <w:numId w:val="2"/>
        </w:numPr>
        <w:spacing w:before="100" w:beforeAutospacing="1" w:after="100" w:afterAutospacing="1"/>
        <w:jc w:val="left"/>
        <w:rPr>
          <w:rFonts w:ascii="Meiryo UI" w:eastAsia="Meiryo UI" w:hAnsi="Meiryo UI"/>
          <w:sz w:val="20"/>
          <w:szCs w:val="20"/>
        </w:rPr>
      </w:pPr>
      <w:r w:rsidRPr="00E8228C">
        <w:rPr>
          <w:rFonts w:ascii="Meiryo UI" w:eastAsia="Meiryo UI" w:hAnsi="Meiryo UI"/>
          <w:sz w:val="20"/>
          <w:szCs w:val="20"/>
        </w:rPr>
        <w:t>自動情報システム (AIS) と LRIT を適切に機能させ、船舶の位置を継続的に送信できるようにする</w:t>
      </w:r>
    </w:p>
    <w:p w14:paraId="610E0078"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lastRenderedPageBreak/>
        <w:t>・ウクライナおよびロシア海域でパナマ籍船に武装要員を乗船させる警備会社の乗船は禁止されています。</w:t>
      </w:r>
    </w:p>
    <w:p w14:paraId="7134F14E"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・すべての船舶は、乗組員の港湾エリアでの移動に関する地方自治体の指示に従うことをお勧めします。 不測の事態が発生した場合に備えて、船上での通信セキュリティ計画を見直してください。</w:t>
      </w:r>
    </w:p>
    <w:p w14:paraId="171A24E4"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・インシデントまたは疑わしい活動が発生した場合は、できるだけ早く次のように通知する必要があります。</w:t>
      </w:r>
    </w:p>
    <w:p w14:paraId="6105F380"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Panama Maritime Authority</w:t>
      </w:r>
      <w:r w:rsidRPr="00E8228C">
        <w:rPr>
          <w:rFonts w:ascii="Meiryo UI" w:eastAsia="Meiryo UI" w:hAnsi="Meiryo UI"/>
          <w:sz w:val="20"/>
          <w:szCs w:val="20"/>
        </w:rPr>
        <w:br/>
        <w:t>Maritime Ships Security Department</w:t>
      </w:r>
      <w:r w:rsidRPr="00E8228C">
        <w:rPr>
          <w:rFonts w:ascii="Meiryo UI" w:eastAsia="Meiryo UI" w:hAnsi="Meiryo UI"/>
          <w:sz w:val="20"/>
          <w:szCs w:val="20"/>
        </w:rPr>
        <w:br/>
        <w:t>Phone: (507) 501-5037 / 5085</w:t>
      </w:r>
      <w:r w:rsidRPr="00E8228C">
        <w:rPr>
          <w:rFonts w:ascii="Meiryo UI" w:eastAsia="Meiryo UI" w:hAnsi="Meiryo UI"/>
          <w:sz w:val="20"/>
          <w:szCs w:val="20"/>
        </w:rPr>
        <w:br/>
        <w:t xml:space="preserve">E-mail: </w:t>
      </w:r>
      <w:hyperlink r:id="rId7" w:history="1">
        <w:r w:rsidRPr="00E8228C">
          <w:rPr>
            <w:rStyle w:val="a3"/>
            <w:rFonts w:ascii="Meiryo UI" w:eastAsia="Meiryo UI" w:hAnsi="Meiryo UI"/>
            <w:sz w:val="20"/>
            <w:szCs w:val="20"/>
          </w:rPr>
          <w:t>isps@amp.gob.pa</w:t>
        </w:r>
      </w:hyperlink>
      <w:r w:rsidRPr="00E8228C">
        <w:rPr>
          <w:rFonts w:ascii="Meiryo UI" w:eastAsia="Meiryo UI" w:hAnsi="Meiryo UI"/>
          <w:sz w:val="20"/>
          <w:szCs w:val="20"/>
        </w:rPr>
        <w:t xml:space="preserve"> , </w:t>
      </w:r>
      <w:hyperlink r:id="rId8" w:history="1">
        <w:r w:rsidRPr="00E8228C">
          <w:rPr>
            <w:rStyle w:val="a3"/>
            <w:rFonts w:ascii="Meiryo UI" w:eastAsia="Meiryo UI" w:hAnsi="Meiryo UI"/>
            <w:sz w:val="20"/>
            <w:szCs w:val="20"/>
          </w:rPr>
          <w:t>nardila@amp.gob.pa</w:t>
        </w:r>
      </w:hyperlink>
    </w:p>
    <w:p w14:paraId="3C5B69F0"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OTAN</w:t>
      </w:r>
      <w:r w:rsidRPr="00E8228C">
        <w:rPr>
          <w:rFonts w:ascii="Meiryo UI" w:eastAsia="Meiryo UI" w:hAnsi="Meiryo UI"/>
          <w:sz w:val="20"/>
          <w:szCs w:val="20"/>
        </w:rPr>
        <w:br/>
      </w:r>
      <w:hyperlink r:id="rId9" w:history="1">
        <w:r w:rsidRPr="00E8228C">
          <w:rPr>
            <w:rStyle w:val="a3"/>
            <w:rFonts w:ascii="Meiryo UI" w:eastAsia="Meiryo UI" w:hAnsi="Meiryo UI"/>
            <w:sz w:val="20"/>
            <w:szCs w:val="20"/>
          </w:rPr>
          <w:t>info@shipping.nato.int</w:t>
        </w:r>
      </w:hyperlink>
    </w:p>
    <w:p w14:paraId="19FC005F" w14:textId="77777777" w:rsidR="00E8228C" w:rsidRPr="00E8228C" w:rsidRDefault="00E8228C" w:rsidP="00E8228C">
      <w:pPr>
        <w:pStyle w:val="Web"/>
        <w:rPr>
          <w:rFonts w:ascii="Meiryo UI" w:eastAsia="Meiryo UI" w:hAnsi="Meiryo UI"/>
          <w:sz w:val="20"/>
          <w:szCs w:val="20"/>
        </w:rPr>
      </w:pPr>
      <w:r w:rsidRPr="00E8228C">
        <w:rPr>
          <w:rFonts w:ascii="Meiryo UI" w:eastAsia="Meiryo UI" w:hAnsi="Meiryo UI"/>
          <w:sz w:val="20"/>
          <w:szCs w:val="20"/>
        </w:rPr>
        <w:t>+44 (0) 1923-956574</w:t>
      </w:r>
    </w:p>
    <w:p w14:paraId="71E19BF8" w14:textId="44E2FFDA" w:rsidR="00C11483" w:rsidRPr="00E8228C" w:rsidRDefault="00C11483" w:rsidP="00E8228C"/>
    <w:sectPr w:rsidR="00C11483" w:rsidRPr="00E822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8A1C35"/>
    <w:multiLevelType w:val="multilevel"/>
    <w:tmpl w:val="B6A4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04205"/>
    <w:multiLevelType w:val="hybridMultilevel"/>
    <w:tmpl w:val="F064D4F8"/>
    <w:lvl w:ilvl="0" w:tplc="9D8A2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87"/>
    <w:rsid w:val="000102E6"/>
    <w:rsid w:val="000508BA"/>
    <w:rsid w:val="00060AB0"/>
    <w:rsid w:val="00072293"/>
    <w:rsid w:val="0007546C"/>
    <w:rsid w:val="00077FFC"/>
    <w:rsid w:val="000926FF"/>
    <w:rsid w:val="0009344E"/>
    <w:rsid w:val="000A0ADB"/>
    <w:rsid w:val="000B4D78"/>
    <w:rsid w:val="000C1B31"/>
    <w:rsid w:val="000E7472"/>
    <w:rsid w:val="001023B3"/>
    <w:rsid w:val="00124C18"/>
    <w:rsid w:val="00126AB1"/>
    <w:rsid w:val="00150DF5"/>
    <w:rsid w:val="001552B1"/>
    <w:rsid w:val="0016672A"/>
    <w:rsid w:val="001726B6"/>
    <w:rsid w:val="001938D4"/>
    <w:rsid w:val="0019411F"/>
    <w:rsid w:val="001B2F4D"/>
    <w:rsid w:val="001E2991"/>
    <w:rsid w:val="001F0A4A"/>
    <w:rsid w:val="002007BD"/>
    <w:rsid w:val="00204BAE"/>
    <w:rsid w:val="00226F87"/>
    <w:rsid w:val="00233CFA"/>
    <w:rsid w:val="00246F64"/>
    <w:rsid w:val="00256FC7"/>
    <w:rsid w:val="00257B9A"/>
    <w:rsid w:val="002644B7"/>
    <w:rsid w:val="002669D6"/>
    <w:rsid w:val="00274427"/>
    <w:rsid w:val="00283FDD"/>
    <w:rsid w:val="0028418B"/>
    <w:rsid w:val="00292FDF"/>
    <w:rsid w:val="002A33ED"/>
    <w:rsid w:val="002A40A3"/>
    <w:rsid w:val="002A7F2E"/>
    <w:rsid w:val="002B0076"/>
    <w:rsid w:val="002B4153"/>
    <w:rsid w:val="002B7074"/>
    <w:rsid w:val="002C6B56"/>
    <w:rsid w:val="002D1992"/>
    <w:rsid w:val="002E51FB"/>
    <w:rsid w:val="002E7B22"/>
    <w:rsid w:val="00301180"/>
    <w:rsid w:val="00307F34"/>
    <w:rsid w:val="0031147E"/>
    <w:rsid w:val="00313638"/>
    <w:rsid w:val="0032197E"/>
    <w:rsid w:val="003253AD"/>
    <w:rsid w:val="00332169"/>
    <w:rsid w:val="00336D09"/>
    <w:rsid w:val="0034318B"/>
    <w:rsid w:val="00354F61"/>
    <w:rsid w:val="00360ED1"/>
    <w:rsid w:val="00361C7B"/>
    <w:rsid w:val="00367111"/>
    <w:rsid w:val="00371EC7"/>
    <w:rsid w:val="003762F5"/>
    <w:rsid w:val="003962F7"/>
    <w:rsid w:val="003968BA"/>
    <w:rsid w:val="003A36CA"/>
    <w:rsid w:val="003C387C"/>
    <w:rsid w:val="003D5AF5"/>
    <w:rsid w:val="003D660C"/>
    <w:rsid w:val="003D723F"/>
    <w:rsid w:val="003F5337"/>
    <w:rsid w:val="00402F56"/>
    <w:rsid w:val="00403B82"/>
    <w:rsid w:val="004061A6"/>
    <w:rsid w:val="00421A9C"/>
    <w:rsid w:val="00434C7F"/>
    <w:rsid w:val="00445C54"/>
    <w:rsid w:val="00445C74"/>
    <w:rsid w:val="0045241D"/>
    <w:rsid w:val="00481D16"/>
    <w:rsid w:val="0048294F"/>
    <w:rsid w:val="004D168A"/>
    <w:rsid w:val="004D59FB"/>
    <w:rsid w:val="004E6652"/>
    <w:rsid w:val="004F2667"/>
    <w:rsid w:val="00512791"/>
    <w:rsid w:val="00521F9A"/>
    <w:rsid w:val="00522403"/>
    <w:rsid w:val="005621F5"/>
    <w:rsid w:val="005678E1"/>
    <w:rsid w:val="00583E98"/>
    <w:rsid w:val="0059033F"/>
    <w:rsid w:val="0059265E"/>
    <w:rsid w:val="005958AA"/>
    <w:rsid w:val="00595EFE"/>
    <w:rsid w:val="005B42EF"/>
    <w:rsid w:val="005D5E56"/>
    <w:rsid w:val="005E5647"/>
    <w:rsid w:val="005F1D93"/>
    <w:rsid w:val="00611AC1"/>
    <w:rsid w:val="00616108"/>
    <w:rsid w:val="00616244"/>
    <w:rsid w:val="00650289"/>
    <w:rsid w:val="006623A0"/>
    <w:rsid w:val="006645A4"/>
    <w:rsid w:val="00670D91"/>
    <w:rsid w:val="006716FF"/>
    <w:rsid w:val="006846A2"/>
    <w:rsid w:val="006856FB"/>
    <w:rsid w:val="00687FCB"/>
    <w:rsid w:val="00694755"/>
    <w:rsid w:val="006A696B"/>
    <w:rsid w:val="006B384C"/>
    <w:rsid w:val="006C5656"/>
    <w:rsid w:val="007110A0"/>
    <w:rsid w:val="007156A4"/>
    <w:rsid w:val="0072042E"/>
    <w:rsid w:val="00723957"/>
    <w:rsid w:val="00725C8E"/>
    <w:rsid w:val="00732C8A"/>
    <w:rsid w:val="0075327A"/>
    <w:rsid w:val="007610FB"/>
    <w:rsid w:val="0077146E"/>
    <w:rsid w:val="007923A1"/>
    <w:rsid w:val="007A7644"/>
    <w:rsid w:val="007A7C77"/>
    <w:rsid w:val="007B5810"/>
    <w:rsid w:val="008032EF"/>
    <w:rsid w:val="00811B8A"/>
    <w:rsid w:val="008149FF"/>
    <w:rsid w:val="00830623"/>
    <w:rsid w:val="008311EF"/>
    <w:rsid w:val="00844D4D"/>
    <w:rsid w:val="00847D87"/>
    <w:rsid w:val="008679A1"/>
    <w:rsid w:val="00890963"/>
    <w:rsid w:val="008B39FE"/>
    <w:rsid w:val="008B6852"/>
    <w:rsid w:val="008C03D1"/>
    <w:rsid w:val="008C4813"/>
    <w:rsid w:val="008E0952"/>
    <w:rsid w:val="008F0B88"/>
    <w:rsid w:val="008F23DD"/>
    <w:rsid w:val="0090083F"/>
    <w:rsid w:val="00900CAD"/>
    <w:rsid w:val="00913FCE"/>
    <w:rsid w:val="009148F1"/>
    <w:rsid w:val="00925D2F"/>
    <w:rsid w:val="00931C0B"/>
    <w:rsid w:val="009336C7"/>
    <w:rsid w:val="00937254"/>
    <w:rsid w:val="009524C7"/>
    <w:rsid w:val="00973B32"/>
    <w:rsid w:val="009A1330"/>
    <w:rsid w:val="009A7C3A"/>
    <w:rsid w:val="009B1B27"/>
    <w:rsid w:val="009B60AA"/>
    <w:rsid w:val="009D1215"/>
    <w:rsid w:val="009D69A9"/>
    <w:rsid w:val="009E2B39"/>
    <w:rsid w:val="009F1332"/>
    <w:rsid w:val="009F6C3B"/>
    <w:rsid w:val="00A2315D"/>
    <w:rsid w:val="00A36A1B"/>
    <w:rsid w:val="00A419F8"/>
    <w:rsid w:val="00A636DF"/>
    <w:rsid w:val="00A65E2C"/>
    <w:rsid w:val="00A713B9"/>
    <w:rsid w:val="00AB1ACA"/>
    <w:rsid w:val="00AB1ADC"/>
    <w:rsid w:val="00AD49FE"/>
    <w:rsid w:val="00AE3E5C"/>
    <w:rsid w:val="00B2765D"/>
    <w:rsid w:val="00B3147B"/>
    <w:rsid w:val="00B53623"/>
    <w:rsid w:val="00B74996"/>
    <w:rsid w:val="00B75F46"/>
    <w:rsid w:val="00BA267B"/>
    <w:rsid w:val="00BA61E4"/>
    <w:rsid w:val="00BF090B"/>
    <w:rsid w:val="00BF6DD7"/>
    <w:rsid w:val="00BF7CFC"/>
    <w:rsid w:val="00C0650E"/>
    <w:rsid w:val="00C11483"/>
    <w:rsid w:val="00C15C28"/>
    <w:rsid w:val="00C424E4"/>
    <w:rsid w:val="00C61CCC"/>
    <w:rsid w:val="00C70A1E"/>
    <w:rsid w:val="00C832DF"/>
    <w:rsid w:val="00C873DB"/>
    <w:rsid w:val="00C91DE0"/>
    <w:rsid w:val="00CC1103"/>
    <w:rsid w:val="00CC51A4"/>
    <w:rsid w:val="00CC795F"/>
    <w:rsid w:val="00CD12D7"/>
    <w:rsid w:val="00CD1CC2"/>
    <w:rsid w:val="00D00B8C"/>
    <w:rsid w:val="00D274C2"/>
    <w:rsid w:val="00D40EBB"/>
    <w:rsid w:val="00D43260"/>
    <w:rsid w:val="00D51D63"/>
    <w:rsid w:val="00D558B0"/>
    <w:rsid w:val="00D56675"/>
    <w:rsid w:val="00D56BC7"/>
    <w:rsid w:val="00D646E2"/>
    <w:rsid w:val="00D70879"/>
    <w:rsid w:val="00D728DB"/>
    <w:rsid w:val="00D91273"/>
    <w:rsid w:val="00DB1680"/>
    <w:rsid w:val="00DD0910"/>
    <w:rsid w:val="00DE42BF"/>
    <w:rsid w:val="00DE6C71"/>
    <w:rsid w:val="00DE7B0A"/>
    <w:rsid w:val="00DF19CD"/>
    <w:rsid w:val="00DF6521"/>
    <w:rsid w:val="00E06F7A"/>
    <w:rsid w:val="00E447B8"/>
    <w:rsid w:val="00E618BC"/>
    <w:rsid w:val="00E74EEA"/>
    <w:rsid w:val="00E8228C"/>
    <w:rsid w:val="00E86A37"/>
    <w:rsid w:val="00E952AC"/>
    <w:rsid w:val="00E97F46"/>
    <w:rsid w:val="00EA1911"/>
    <w:rsid w:val="00EB1137"/>
    <w:rsid w:val="00EB3760"/>
    <w:rsid w:val="00EC1397"/>
    <w:rsid w:val="00F06C6C"/>
    <w:rsid w:val="00F11AF4"/>
    <w:rsid w:val="00F1343A"/>
    <w:rsid w:val="00F241CF"/>
    <w:rsid w:val="00F252EC"/>
    <w:rsid w:val="00F40E4B"/>
    <w:rsid w:val="00F741B2"/>
    <w:rsid w:val="00F814E7"/>
    <w:rsid w:val="00F91210"/>
    <w:rsid w:val="00FA0774"/>
    <w:rsid w:val="00FA24AB"/>
    <w:rsid w:val="00FA284C"/>
    <w:rsid w:val="00FE311B"/>
    <w:rsid w:val="00FF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005D05"/>
  <w15:chartTrackingRefBased/>
  <w15:docId w15:val="{0DC36A64-1261-4450-AF67-F3387F87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47D87"/>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D87"/>
    <w:rPr>
      <w:color w:val="0563C1" w:themeColor="hyperlink"/>
      <w:u w:val="single"/>
    </w:rPr>
  </w:style>
  <w:style w:type="character" w:styleId="a4">
    <w:name w:val="Unresolved Mention"/>
    <w:basedOn w:val="a0"/>
    <w:uiPriority w:val="99"/>
    <w:semiHidden/>
    <w:unhideWhenUsed/>
    <w:rsid w:val="00847D87"/>
    <w:rPr>
      <w:color w:val="605E5C"/>
      <w:shd w:val="clear" w:color="auto" w:fill="E1DFDD"/>
    </w:rPr>
  </w:style>
  <w:style w:type="paragraph" w:styleId="a5">
    <w:name w:val="List Paragraph"/>
    <w:basedOn w:val="a"/>
    <w:uiPriority w:val="34"/>
    <w:qFormat/>
    <w:rsid w:val="00847D87"/>
    <w:pPr>
      <w:ind w:leftChars="400" w:left="840"/>
    </w:pPr>
  </w:style>
  <w:style w:type="character" w:customStyle="1" w:styleId="20">
    <w:name w:val="見出し 2 (文字)"/>
    <w:basedOn w:val="a0"/>
    <w:link w:val="2"/>
    <w:uiPriority w:val="9"/>
    <w:rsid w:val="00847D87"/>
    <w:rPr>
      <w:rFonts w:ascii="ＭＳ Ｐゴシック" w:eastAsia="ＭＳ Ｐゴシック" w:hAnsi="ＭＳ Ｐゴシック" w:cs="ＭＳ Ｐゴシック"/>
      <w:b/>
      <w:bCs/>
      <w:kern w:val="0"/>
      <w:sz w:val="36"/>
      <w:szCs w:val="36"/>
    </w:rPr>
  </w:style>
  <w:style w:type="character" w:customStyle="1" w:styleId="ztplmc">
    <w:name w:val="ztplmc"/>
    <w:basedOn w:val="a0"/>
    <w:rsid w:val="00847D87"/>
  </w:style>
  <w:style w:type="character" w:customStyle="1" w:styleId="viiyi">
    <w:name w:val="viiyi"/>
    <w:basedOn w:val="a0"/>
    <w:rsid w:val="00847D87"/>
  </w:style>
  <w:style w:type="character" w:customStyle="1" w:styleId="q4iawc">
    <w:name w:val="q4iawc"/>
    <w:basedOn w:val="a0"/>
    <w:rsid w:val="00847D87"/>
  </w:style>
  <w:style w:type="paragraph" w:styleId="Web">
    <w:name w:val="Normal (Web)"/>
    <w:basedOn w:val="a"/>
    <w:uiPriority w:val="99"/>
    <w:semiHidden/>
    <w:unhideWhenUsed/>
    <w:rsid w:val="00E822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293415">
      <w:bodyDiv w:val="1"/>
      <w:marLeft w:val="0"/>
      <w:marRight w:val="0"/>
      <w:marTop w:val="0"/>
      <w:marBottom w:val="0"/>
      <w:divBdr>
        <w:top w:val="none" w:sz="0" w:space="0" w:color="auto"/>
        <w:left w:val="none" w:sz="0" w:space="0" w:color="auto"/>
        <w:bottom w:val="none" w:sz="0" w:space="0" w:color="auto"/>
        <w:right w:val="none" w:sz="0" w:space="0" w:color="auto"/>
      </w:divBdr>
      <w:divsChild>
        <w:div w:id="2015842644">
          <w:marLeft w:val="0"/>
          <w:marRight w:val="0"/>
          <w:marTop w:val="100"/>
          <w:marBottom w:val="0"/>
          <w:divBdr>
            <w:top w:val="none" w:sz="0" w:space="0" w:color="auto"/>
            <w:left w:val="none" w:sz="0" w:space="0" w:color="auto"/>
            <w:bottom w:val="none" w:sz="0" w:space="0" w:color="auto"/>
            <w:right w:val="none" w:sz="0" w:space="0" w:color="auto"/>
          </w:divBdr>
        </w:div>
        <w:div w:id="145821057">
          <w:marLeft w:val="0"/>
          <w:marRight w:val="0"/>
          <w:marTop w:val="0"/>
          <w:marBottom w:val="0"/>
          <w:divBdr>
            <w:top w:val="none" w:sz="0" w:space="0" w:color="auto"/>
            <w:left w:val="none" w:sz="0" w:space="0" w:color="auto"/>
            <w:bottom w:val="none" w:sz="0" w:space="0" w:color="auto"/>
            <w:right w:val="none" w:sz="0" w:space="0" w:color="auto"/>
          </w:divBdr>
          <w:divsChild>
            <w:div w:id="1620914653">
              <w:marLeft w:val="0"/>
              <w:marRight w:val="0"/>
              <w:marTop w:val="0"/>
              <w:marBottom w:val="0"/>
              <w:divBdr>
                <w:top w:val="none" w:sz="0" w:space="0" w:color="auto"/>
                <w:left w:val="none" w:sz="0" w:space="0" w:color="auto"/>
                <w:bottom w:val="none" w:sz="0" w:space="0" w:color="auto"/>
                <w:right w:val="none" w:sz="0" w:space="0" w:color="auto"/>
              </w:divBdr>
              <w:divsChild>
                <w:div w:id="3756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5375">
      <w:bodyDiv w:val="1"/>
      <w:marLeft w:val="0"/>
      <w:marRight w:val="0"/>
      <w:marTop w:val="0"/>
      <w:marBottom w:val="0"/>
      <w:divBdr>
        <w:top w:val="none" w:sz="0" w:space="0" w:color="auto"/>
        <w:left w:val="none" w:sz="0" w:space="0" w:color="auto"/>
        <w:bottom w:val="none" w:sz="0" w:space="0" w:color="auto"/>
        <w:right w:val="none" w:sz="0" w:space="0" w:color="auto"/>
      </w:divBdr>
      <w:divsChild>
        <w:div w:id="975716113">
          <w:marLeft w:val="0"/>
          <w:marRight w:val="0"/>
          <w:marTop w:val="100"/>
          <w:marBottom w:val="0"/>
          <w:divBdr>
            <w:top w:val="none" w:sz="0" w:space="0" w:color="auto"/>
            <w:left w:val="none" w:sz="0" w:space="0" w:color="auto"/>
            <w:bottom w:val="none" w:sz="0" w:space="0" w:color="auto"/>
            <w:right w:val="none" w:sz="0" w:space="0" w:color="auto"/>
          </w:divBdr>
        </w:div>
        <w:div w:id="1023820115">
          <w:marLeft w:val="0"/>
          <w:marRight w:val="0"/>
          <w:marTop w:val="0"/>
          <w:marBottom w:val="0"/>
          <w:divBdr>
            <w:top w:val="none" w:sz="0" w:space="0" w:color="auto"/>
            <w:left w:val="none" w:sz="0" w:space="0" w:color="auto"/>
            <w:bottom w:val="none" w:sz="0" w:space="0" w:color="auto"/>
            <w:right w:val="none" w:sz="0" w:space="0" w:color="auto"/>
          </w:divBdr>
          <w:divsChild>
            <w:div w:id="384107325">
              <w:marLeft w:val="0"/>
              <w:marRight w:val="0"/>
              <w:marTop w:val="0"/>
              <w:marBottom w:val="0"/>
              <w:divBdr>
                <w:top w:val="none" w:sz="0" w:space="0" w:color="auto"/>
                <w:left w:val="none" w:sz="0" w:space="0" w:color="auto"/>
                <w:bottom w:val="none" w:sz="0" w:space="0" w:color="auto"/>
                <w:right w:val="none" w:sz="0" w:space="0" w:color="auto"/>
              </w:divBdr>
              <w:divsChild>
                <w:div w:id="535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9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dila@amp.gob.pa" TargetMode="External"/><Relationship Id="rId3" Type="http://schemas.openxmlformats.org/officeDocument/2006/relationships/settings" Target="settings.xml"/><Relationship Id="rId7" Type="http://schemas.openxmlformats.org/officeDocument/2006/relationships/hyperlink" Target="mailto:isps@amp.gob.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ps@amp.gob.pa" TargetMode="External"/><Relationship Id="rId11" Type="http://schemas.openxmlformats.org/officeDocument/2006/relationships/theme" Target="theme/theme1.xml"/><Relationship Id="rId5" Type="http://schemas.openxmlformats.org/officeDocument/2006/relationships/hyperlink" Target="mailto:nardila@amp.gob.p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hipping.nato.in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Kato,YukihiroTKZOM</dc:creator>
  <cp:keywords/>
  <dc:description/>
  <cp:lastModifiedBy>Kato,YukihiroTKZOM</cp:lastModifiedBy>
  <cp:revision>2</cp:revision>
  <dcterms:created xsi:type="dcterms:W3CDTF">2022-08-17T01:23:00Z</dcterms:created>
  <dcterms:modified xsi:type="dcterms:W3CDTF">2022-08-17T01:23:00Z</dcterms:modified>
</cp:coreProperties>
</file>